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附件4</w:t>
      </w:r>
    </w:p>
    <w:p>
      <w:pPr>
        <w:spacing w:line="580" w:lineRule="exact"/>
        <w:jc w:val="center"/>
        <w:rPr>
          <w:rFonts w:eastAsia="方正小标宋简体"/>
        </w:rPr>
      </w:pPr>
      <w:bookmarkStart w:id="0" w:name="_GoBack"/>
      <w:r>
        <w:fldChar w:fldCharType="begin"/>
      </w:r>
      <w:r>
        <w:instrText xml:space="preserve"> HYPERLINK "http://files.hnedu.cn/53/82/attach/20120612/20120612153313461004.doc" \t "http://jsc.gov.hnedu.cn/c/2016-10-12/_blank" </w:instrText>
      </w:r>
      <w:r>
        <w:fldChar w:fldCharType="separate"/>
      </w:r>
      <w:r>
        <w:rPr>
          <w:rFonts w:eastAsia="方正小标宋简体"/>
          <w:sz w:val="44"/>
          <w:szCs w:val="44"/>
        </w:rPr>
        <w:t>湖南省教师资格认定体检表</w:t>
      </w:r>
      <w:r>
        <w:rPr>
          <w:rFonts w:eastAsia="方正小标宋简体"/>
          <w:sz w:val="44"/>
          <w:szCs w:val="44"/>
        </w:rPr>
        <w:fldChar w:fldCharType="end"/>
      </w:r>
      <w:bookmarkEnd w:id="0"/>
    </w:p>
    <w:p>
      <w:pPr>
        <w:snapToGrid w:val="0"/>
        <w:ind w:right="-2"/>
        <w:jc w:val="righ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                      第    号                                             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78"/>
        <w:gridCol w:w="585"/>
        <w:gridCol w:w="184"/>
        <w:gridCol w:w="63"/>
        <w:gridCol w:w="365"/>
        <w:gridCol w:w="265"/>
        <w:gridCol w:w="157"/>
        <w:gridCol w:w="61"/>
        <w:gridCol w:w="373"/>
        <w:gridCol w:w="714"/>
        <w:gridCol w:w="23"/>
        <w:gridCol w:w="255"/>
        <w:gridCol w:w="50"/>
        <w:gridCol w:w="7"/>
        <w:gridCol w:w="59"/>
        <w:gridCol w:w="358"/>
        <w:gridCol w:w="421"/>
        <w:gridCol w:w="224"/>
        <w:gridCol w:w="155"/>
        <w:gridCol w:w="266"/>
        <w:gridCol w:w="297"/>
        <w:gridCol w:w="239"/>
        <w:gridCol w:w="793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    名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性别</w:t>
            </w:r>
          </w:p>
        </w:tc>
        <w:tc>
          <w:tcPr>
            <w:tcW w:w="43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婚否</w:t>
            </w:r>
          </w:p>
        </w:tc>
        <w:tc>
          <w:tcPr>
            <w:tcW w:w="471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半身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脱帽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相片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出生年月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证号</w:t>
            </w:r>
          </w:p>
        </w:tc>
        <w:tc>
          <w:tcPr>
            <w:tcW w:w="2274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</w:t>
            </w:r>
          </w:p>
        </w:tc>
        <w:tc>
          <w:tcPr>
            <w:tcW w:w="704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</w:t>
            </w:r>
          </w:p>
        </w:tc>
        <w:tc>
          <w:tcPr>
            <w:tcW w:w="863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户籍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所在地</w:t>
            </w:r>
          </w:p>
        </w:tc>
        <w:tc>
          <w:tcPr>
            <w:tcW w:w="94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05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现住所及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通讯地址</w:t>
            </w:r>
          </w:p>
        </w:tc>
        <w:tc>
          <w:tcPr>
            <w:tcW w:w="2072" w:type="pct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种类</w:t>
            </w:r>
          </w:p>
        </w:tc>
        <w:tc>
          <w:tcPr>
            <w:tcW w:w="940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249" w:type="pct"/>
            <w:gridSpan w:val="1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既往病史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（须明确标明肝炎、结核、皮肤病、性传播疾病、精神病、其他，并受检者确认签字）</w:t>
            </w:r>
          </w:p>
        </w:tc>
        <w:tc>
          <w:tcPr>
            <w:tcW w:w="2750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受检者签名：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9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家族病史</w:t>
            </w:r>
          </w:p>
        </w:tc>
        <w:tc>
          <w:tcPr>
            <w:tcW w:w="4050" w:type="pct"/>
            <w:gridSpan w:val="2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官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视力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矫正视力</w:t>
            </w: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553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辨</w:t>
            </w:r>
            <w:r>
              <w:rPr>
                <w:sz w:val="18"/>
                <w:szCs w:val="18"/>
              </w:rPr>
              <w:t>色力</w:t>
            </w:r>
          </w:p>
        </w:tc>
        <w:tc>
          <w:tcPr>
            <w:tcW w:w="607" w:type="pct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pct"/>
            <w:gridSpan w:val="7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553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砂眼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眼疾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</w:t>
            </w:r>
          </w:p>
        </w:tc>
        <w:tc>
          <w:tcPr>
            <w:tcW w:w="489" w:type="pct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听力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右　  　公尺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耳疾</w:t>
            </w:r>
          </w:p>
        </w:tc>
        <w:tc>
          <w:tcPr>
            <w:tcW w:w="1852" w:type="pct"/>
            <w:gridSpan w:val="1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左　　  公尺</w:t>
            </w:r>
          </w:p>
        </w:tc>
        <w:tc>
          <w:tcPr>
            <w:tcW w:w="421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52" w:type="pct"/>
            <w:gridSpan w:val="1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嗅觉</w:t>
            </w:r>
          </w:p>
        </w:tc>
        <w:tc>
          <w:tcPr>
            <w:tcW w:w="720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鼻及鼻窦疾病</w:t>
            </w:r>
          </w:p>
        </w:tc>
        <w:tc>
          <w:tcPr>
            <w:tcW w:w="1852" w:type="pct"/>
            <w:gridSpan w:val="1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咽喉</w:t>
            </w:r>
          </w:p>
        </w:tc>
        <w:tc>
          <w:tcPr>
            <w:tcW w:w="1209" w:type="pct"/>
            <w:gridSpan w:val="8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唇腭</w:t>
            </w:r>
          </w:p>
        </w:tc>
        <w:tc>
          <w:tcPr>
            <w:tcW w:w="441" w:type="pct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口吃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</w:t>
            </w:r>
          </w:p>
        </w:tc>
        <w:tc>
          <w:tcPr>
            <w:tcW w:w="452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pct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龋齿</w:t>
            </w:r>
          </w:p>
        </w:tc>
        <w:tc>
          <w:tcPr>
            <w:tcW w:w="782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缺齿</w:t>
            </w:r>
          </w:p>
        </w:tc>
        <w:tc>
          <w:tcPr>
            <w:tcW w:w="210" w:type="pc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齿槽脓漏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65" w:type="pct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身高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胸围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皮肤</w:t>
            </w:r>
          </w:p>
        </w:tc>
        <w:tc>
          <w:tcPr>
            <w:tcW w:w="782" w:type="pct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体重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呼吸差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628" w:type="pct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pct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淋巴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脊柱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四肢</w:t>
            </w:r>
          </w:p>
        </w:tc>
        <w:tc>
          <w:tcPr>
            <w:tcW w:w="60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关节</w:t>
            </w:r>
          </w:p>
        </w:tc>
        <w:tc>
          <w:tcPr>
            <w:tcW w:w="429" w:type="pct"/>
            <w:gridSpan w:val="5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平嗻足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泌尿生殖器</w:t>
            </w:r>
          </w:p>
        </w:tc>
        <w:tc>
          <w:tcPr>
            <w:tcW w:w="1728" w:type="pct"/>
            <w:gridSpan w:val="14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4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肛门</w:t>
            </w:r>
          </w:p>
        </w:tc>
        <w:tc>
          <w:tcPr>
            <w:tcW w:w="782" w:type="pct"/>
            <w:gridSpan w:val="3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65" w:type="pct"/>
            <w:vMerge w:val="continue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疝</w:t>
            </w:r>
          </w:p>
        </w:tc>
        <w:tc>
          <w:tcPr>
            <w:tcW w:w="1299" w:type="pct"/>
            <w:gridSpan w:val="9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9" w:type="pct"/>
            <w:gridSpan w:val="5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1411" w:type="pct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内科</w:t>
            </w: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血压</w:t>
            </w:r>
          </w:p>
        </w:tc>
        <w:tc>
          <w:tcPr>
            <w:tcW w:w="1483" w:type="pct"/>
            <w:gridSpan w:val="12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毫米汞柱</w:t>
            </w:r>
          </w:p>
        </w:tc>
        <w:tc>
          <w:tcPr>
            <w:tcW w:w="626" w:type="pct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脉搏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医师意见：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发育及营养状况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神经及精神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肺及呼吸道</w:t>
            </w:r>
          </w:p>
        </w:tc>
        <w:tc>
          <w:tcPr>
            <w:tcW w:w="1479" w:type="pct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心脏及血管</w:t>
            </w:r>
          </w:p>
        </w:tc>
        <w:tc>
          <w:tcPr>
            <w:tcW w:w="1030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腹部器官</w:t>
            </w:r>
          </w:p>
        </w:tc>
        <w:tc>
          <w:tcPr>
            <w:tcW w:w="865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肝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脾</w:t>
            </w:r>
          </w:p>
        </w:tc>
        <w:tc>
          <w:tcPr>
            <w:tcW w:w="1411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6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684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3140" w:type="pct"/>
            <w:gridSpan w:val="2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pct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kern w:val="13"/>
                <w:sz w:val="18"/>
                <w:szCs w:val="18"/>
              </w:rPr>
              <w:t>认定幼儿园教师资格人员必填</w:t>
            </w: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淋球菌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滴虫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" w:type="pct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梅毒螺旋体</w:t>
            </w:r>
          </w:p>
        </w:tc>
        <w:tc>
          <w:tcPr>
            <w:tcW w:w="805" w:type="pct"/>
            <w:gridSpan w:val="4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22" w:type="pct"/>
            <w:gridSpan w:val="10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外阴阴道假丝酵母菌（念球菌）</w:t>
            </w: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化验检查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贴肝功能化验单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　　　　　　　化验员（签章）：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胸部爱克斯线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　　视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　　　　       　  医师（签章）：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其他检查</w:t>
            </w:r>
          </w:p>
        </w:tc>
        <w:tc>
          <w:tcPr>
            <w:tcW w:w="4050" w:type="pct"/>
            <w:gridSpan w:val="22"/>
            <w:tcBorders>
              <w:left w:val="single" w:color="000000" w:sz="4" w:space="0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49" w:type="pct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检查结论</w:t>
            </w:r>
          </w:p>
        </w:tc>
        <w:tc>
          <w:tcPr>
            <w:tcW w:w="2673" w:type="pct"/>
            <w:gridSpan w:val="20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  <w:p>
            <w:pPr>
              <w:snapToGrid w:val="0"/>
            </w:pPr>
            <w:r>
              <w:t>认定学科建议：不宜认定体检标准中第二部分</w:t>
            </w:r>
          </w:p>
          <w:p>
            <w:pPr>
              <w:snapToGrid w:val="0"/>
            </w:pPr>
            <w:r>
              <w:t>第□□，□□，□□，□□，□□条所列相关学科。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体检结论：（1.合格，2.学科受限，3.不合格）</w:t>
            </w:r>
          </w:p>
          <w:p>
            <w:pPr>
              <w:snapToGrid w:val="0"/>
            </w:pPr>
          </w:p>
          <w:p>
            <w:pPr>
              <w:snapToGrid w:val="0"/>
            </w:pPr>
            <w:r>
              <w:t>负责医师（签章）：</w:t>
            </w:r>
          </w:p>
          <w:p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体检医院盖章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年    月    日</w:t>
            </w:r>
          </w:p>
        </w:tc>
      </w:tr>
    </w:tbl>
    <w:p>
      <w:pPr>
        <w:widowControl/>
        <w:shd w:val="clear" w:color="auto" w:fill="FFFFFF"/>
        <w:spacing w:before="287" w:line="56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注 意 事 项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一、预约分流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为错峰分流，建议申请人提前电话预约。</w:t>
      </w:r>
    </w:p>
    <w:p>
      <w:pPr>
        <w:widowControl/>
        <w:shd w:val="clear" w:color="auto" w:fill="FFFFFF"/>
        <w:spacing w:line="560" w:lineRule="atLeast"/>
        <w:ind w:firstLine="626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二、体检医嘱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申请人应在体检前一天保持正常饮食，不要饮酒，不暴饮暴食，避免剧烈运动和情绪激动，注意休息。体检当日清晨空腹禁食水，不化妆，不佩戴贵重饰品，穿着宽松衣服。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三、体检时间及方式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>1.</w:t>
      </w:r>
      <w:r>
        <w:rPr>
          <w:rFonts w:ascii="仿宋" w:hAnsi="仿宋" w:eastAsia="仿宋" w:cs="Arial"/>
          <w:sz w:val="32"/>
          <w:szCs w:val="32"/>
        </w:rPr>
        <w:t>体检时间：即日起至</w:t>
      </w:r>
      <w:r>
        <w:rPr>
          <w:rFonts w:hint="eastAsia" w:ascii="仿宋" w:hAnsi="仿宋" w:eastAsia="仿宋" w:cs="Arial"/>
          <w:sz w:val="32"/>
          <w:szCs w:val="32"/>
        </w:rPr>
        <w:t>10</w:t>
      </w:r>
      <w:r>
        <w:rPr>
          <w:rFonts w:ascii="仿宋" w:hAnsi="仿宋" w:eastAsia="仿宋" w:cs="Arial"/>
          <w:sz w:val="32"/>
          <w:szCs w:val="32"/>
        </w:rPr>
        <w:t>月</w:t>
      </w:r>
      <w:r>
        <w:rPr>
          <w:rFonts w:hint="eastAsia" w:ascii="仿宋" w:hAnsi="仿宋" w:eastAsia="仿宋" w:cs="Arial"/>
          <w:sz w:val="32"/>
          <w:szCs w:val="32"/>
        </w:rPr>
        <w:t>21</w:t>
      </w:r>
      <w:r>
        <w:rPr>
          <w:rFonts w:ascii="仿宋" w:hAnsi="仿宋" w:eastAsia="仿宋" w:cs="Arial"/>
          <w:sz w:val="32"/>
          <w:szCs w:val="32"/>
        </w:rPr>
        <w:t>日</w:t>
      </w:r>
      <w:r>
        <w:rPr>
          <w:rFonts w:hint="eastAsia" w:ascii="仿宋" w:hAnsi="仿宋" w:eastAsia="仿宋" w:cs="Arial"/>
          <w:sz w:val="32"/>
          <w:szCs w:val="32"/>
        </w:rPr>
        <w:t>上午12：00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2.体检方式：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>申请人自行下载附件4体检表，A4纸双面打印，完成表中个人基本信息 ，</w:t>
      </w:r>
      <w:r>
        <w:rPr>
          <w:rFonts w:hint="eastAsia" w:ascii="仿宋" w:hAnsi="仿宋" w:eastAsia="仿宋"/>
          <w:kern w:val="0"/>
          <w:sz w:val="32"/>
          <w:szCs w:val="32"/>
        </w:rPr>
        <w:t>粘好一张本人证件照（与网上申报时上传的电子证件照同底版同要求），在页脚空白处注明本人手机号码。携带本人有效身份证</w:t>
      </w:r>
      <w:r>
        <w:rPr>
          <w:rFonts w:ascii="仿宋" w:hAnsi="仿宋" w:eastAsia="仿宋" w:cs="Arial"/>
          <w:sz w:val="32"/>
          <w:szCs w:val="32"/>
        </w:rPr>
        <w:t>自行</w:t>
      </w:r>
      <w:r>
        <w:rPr>
          <w:rFonts w:hint="eastAsia" w:ascii="仿宋" w:hAnsi="仿宋" w:eastAsia="仿宋" w:cs="Arial"/>
          <w:sz w:val="32"/>
          <w:szCs w:val="32"/>
        </w:rPr>
        <w:t>前往认定机构</w:t>
      </w:r>
      <w:r>
        <w:rPr>
          <w:rFonts w:ascii="仿宋" w:hAnsi="仿宋" w:eastAsia="仿宋" w:cs="Arial"/>
          <w:sz w:val="32"/>
          <w:szCs w:val="32"/>
        </w:rPr>
        <w:t>指定的体检机构</w:t>
      </w:r>
      <w:r>
        <w:rPr>
          <w:rFonts w:hint="eastAsia" w:ascii="仿宋" w:hAnsi="仿宋" w:eastAsia="仿宋" w:cs="Arial"/>
          <w:sz w:val="32"/>
          <w:szCs w:val="32"/>
        </w:rPr>
        <w:t>（高中、中职教师资格申请人体检机构为</w:t>
      </w:r>
      <w:r>
        <w:rPr>
          <w:rFonts w:hint="eastAsia" w:ascii="仿宋" w:hAnsi="仿宋" w:eastAsia="仿宋" w:cs="仿宋_GB2312"/>
          <w:sz w:val="32"/>
          <w:szCs w:val="32"/>
        </w:rPr>
        <w:t xml:space="preserve">湘西州人民医院老院区健康管理中心。体检截止时间为10月21日。                                                   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  <w:t xml:space="preserve">  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四、体检结论。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1.高中、中职教师资格申请人完成全部体检项目后，保留体检发票，以便查询。如体检结论异常，由体检医院通知解释，按医嘱复查一次；体检结论合格的，不另行通知，体检表由认定机构统一领取。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2.初中及以下教师资格申请人体检结果按各认定机构的规定执行。</w:t>
      </w:r>
    </w:p>
    <w:p>
      <w:pPr>
        <w:pStyle w:val="2"/>
        <w:shd w:val="clear" w:color="auto" w:fill="FFFFFF"/>
        <w:spacing w:beforeAutospacing="0" w:afterAutospacing="0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</w:t>
      </w:r>
      <w:r>
        <w:rPr>
          <w:rFonts w:ascii="仿宋" w:hAnsi="仿宋" w:eastAsia="仿宋" w:cs="Arial"/>
          <w:sz w:val="32"/>
          <w:szCs w:val="32"/>
        </w:rPr>
        <w:t>体检有效期</w:t>
      </w:r>
      <w:r>
        <w:rPr>
          <w:rFonts w:hint="eastAsia" w:ascii="仿宋" w:hAnsi="仿宋" w:eastAsia="仿宋" w:cs="Arial"/>
          <w:sz w:val="32"/>
          <w:szCs w:val="32"/>
        </w:rPr>
        <w:t>：</w:t>
      </w:r>
      <w:r>
        <w:rPr>
          <w:rFonts w:ascii="仿宋" w:hAnsi="仿宋" w:eastAsia="仿宋" w:cs="Arial"/>
          <w:sz w:val="32"/>
          <w:szCs w:val="32"/>
        </w:rPr>
        <w:t>教师资格认定体检有效期为半年。202</w:t>
      </w:r>
      <w:r>
        <w:rPr>
          <w:rFonts w:hint="eastAsia" w:ascii="仿宋" w:hAnsi="仿宋" w:eastAsia="仿宋" w:cs="Arial"/>
          <w:sz w:val="32"/>
          <w:szCs w:val="32"/>
        </w:rPr>
        <w:t>3</w:t>
      </w:r>
      <w:r>
        <w:rPr>
          <w:rFonts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</w:rPr>
        <w:t>4</w:t>
      </w:r>
      <w:r>
        <w:rPr>
          <w:rFonts w:ascii="仿宋" w:hAnsi="仿宋" w:eastAsia="仿宋" w:cs="Arial"/>
          <w:sz w:val="32"/>
          <w:szCs w:val="32"/>
        </w:rPr>
        <w:t>月1日至2023年</w:t>
      </w:r>
      <w:r>
        <w:rPr>
          <w:rFonts w:hint="eastAsia" w:ascii="仿宋" w:hAnsi="仿宋" w:eastAsia="仿宋" w:cs="Arial"/>
          <w:sz w:val="32"/>
          <w:szCs w:val="32"/>
        </w:rPr>
        <w:t>10</w:t>
      </w:r>
      <w:r>
        <w:rPr>
          <w:rFonts w:ascii="仿宋" w:hAnsi="仿宋" w:eastAsia="仿宋" w:cs="Arial"/>
          <w:sz w:val="32"/>
          <w:szCs w:val="32"/>
        </w:rPr>
        <w:t>月</w:t>
      </w:r>
      <w:r>
        <w:rPr>
          <w:rFonts w:hint="eastAsia" w:ascii="仿宋" w:hAnsi="仿宋" w:eastAsia="仿宋" w:cs="Arial"/>
          <w:sz w:val="32"/>
          <w:szCs w:val="32"/>
        </w:rPr>
        <w:t>21</w:t>
      </w:r>
      <w:r>
        <w:rPr>
          <w:rFonts w:ascii="仿宋" w:hAnsi="仿宋" w:eastAsia="仿宋" w:cs="Arial"/>
          <w:sz w:val="32"/>
          <w:szCs w:val="32"/>
        </w:rPr>
        <w:t>日进行体检的，在2023年</w:t>
      </w:r>
      <w:r>
        <w:rPr>
          <w:rFonts w:hint="eastAsia" w:ascii="仿宋" w:hAnsi="仿宋" w:eastAsia="仿宋" w:cs="Arial"/>
          <w:sz w:val="32"/>
          <w:szCs w:val="32"/>
        </w:rPr>
        <w:t>下</w:t>
      </w:r>
      <w:r>
        <w:rPr>
          <w:rFonts w:ascii="仿宋" w:hAnsi="仿宋" w:eastAsia="仿宋" w:cs="Arial"/>
          <w:sz w:val="32"/>
          <w:szCs w:val="32"/>
        </w:rPr>
        <w:t>半年第二次教师资格认定时有效。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五、体检纪律</w:t>
      </w:r>
    </w:p>
    <w:p>
      <w:pPr>
        <w:widowControl/>
        <w:shd w:val="clear" w:color="auto" w:fill="FFFFFF"/>
        <w:spacing w:line="560" w:lineRule="atLeast"/>
        <w:ind w:firstLine="624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如发现体检中有冒名顶替现象，一经查实，按弄虚作假、骗取教师资格处理。</w:t>
      </w:r>
    </w:p>
    <w:p/>
    <w:sectPr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IzNzU3ZWJjZTU0MTQzM2U4NjZlM2E5MTRlYTEifQ=="/>
  </w:docVars>
  <w:rsids>
    <w:rsidRoot w:val="7CC03450"/>
    <w:rsid w:val="49A40B61"/>
    <w:rsid w:val="5F2A7D2E"/>
    <w:rsid w:val="7CC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2023-09-18T07:32:00Z</dcterms:created>
  <dc:creator>铭志……途远</dc:creator>
  <cp:lastModifiedBy>铭志……途远</cp:lastModifiedBy>
  <dcterms:modified xsi:type="dcterms:W3CDTF">2023-09-18T07:36:47Z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3D09B2511FF34742828502950CE69E68_13</vt:lpwstr>
  </property>
</Properties>
</file>